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813" w:rsidRDefault="00316813" w:rsidP="00316813">
      <w:pPr>
        <w:pStyle w:val="NormalWeb"/>
        <w:spacing w:before="0" w:beforeAutospacing="0" w:after="240" w:afterAutospacing="0" w:line="480" w:lineRule="auto"/>
        <w:ind w:firstLine="720"/>
        <w:jc w:val="center"/>
        <w:outlineLvl w:val="0"/>
        <w:rPr>
          <w:b/>
          <w:color w:val="000000" w:themeColor="text1"/>
        </w:rPr>
      </w:pPr>
    </w:p>
    <w:p w:rsidR="00316813" w:rsidRDefault="00316813" w:rsidP="00316813">
      <w:pPr>
        <w:pStyle w:val="NormalWeb"/>
        <w:spacing w:before="0" w:beforeAutospacing="0" w:after="240" w:afterAutospacing="0" w:line="480" w:lineRule="auto"/>
        <w:ind w:firstLine="720"/>
        <w:jc w:val="center"/>
        <w:outlineLvl w:val="0"/>
        <w:rPr>
          <w:b/>
          <w:color w:val="000000" w:themeColor="text1"/>
        </w:rPr>
      </w:pPr>
    </w:p>
    <w:p w:rsidR="00316813" w:rsidRDefault="00316813" w:rsidP="00316813">
      <w:pPr>
        <w:pStyle w:val="NormalWeb"/>
        <w:spacing w:before="0" w:beforeAutospacing="0" w:after="240" w:afterAutospacing="0" w:line="480" w:lineRule="auto"/>
        <w:ind w:firstLine="720"/>
        <w:jc w:val="center"/>
        <w:outlineLvl w:val="0"/>
        <w:rPr>
          <w:b/>
          <w:color w:val="000000" w:themeColor="text1"/>
        </w:rPr>
      </w:pPr>
    </w:p>
    <w:p w:rsidR="00316813" w:rsidRDefault="00316813" w:rsidP="00316813">
      <w:pPr>
        <w:pStyle w:val="NormalWeb"/>
        <w:spacing w:before="0" w:beforeAutospacing="0" w:after="240" w:afterAutospacing="0" w:line="480" w:lineRule="auto"/>
        <w:ind w:firstLine="720"/>
        <w:jc w:val="center"/>
        <w:outlineLvl w:val="0"/>
        <w:rPr>
          <w:b/>
          <w:color w:val="000000" w:themeColor="text1"/>
        </w:rPr>
      </w:pPr>
    </w:p>
    <w:p w:rsidR="00316813" w:rsidRDefault="00316813" w:rsidP="00316813">
      <w:pPr>
        <w:pStyle w:val="NormalWeb"/>
        <w:spacing w:before="0" w:beforeAutospacing="0" w:after="240" w:afterAutospacing="0" w:line="480" w:lineRule="auto"/>
        <w:ind w:firstLine="720"/>
        <w:jc w:val="center"/>
        <w:outlineLvl w:val="0"/>
        <w:rPr>
          <w:b/>
          <w:color w:val="000000" w:themeColor="text1"/>
        </w:rPr>
      </w:pPr>
    </w:p>
    <w:p w:rsidR="00635BF1" w:rsidRDefault="00F17AF5" w:rsidP="00316813">
      <w:pPr>
        <w:pStyle w:val="NormalWeb"/>
        <w:spacing w:before="0" w:beforeAutospacing="0" w:after="240" w:afterAutospacing="0" w:line="480" w:lineRule="auto"/>
        <w:ind w:firstLine="720"/>
        <w:jc w:val="center"/>
        <w:outlineLvl w:val="0"/>
        <w:rPr>
          <w:b/>
          <w:color w:val="000000" w:themeColor="text1"/>
        </w:rPr>
      </w:pPr>
      <w:r>
        <w:rPr>
          <w:b/>
          <w:color w:val="000000" w:themeColor="text1"/>
        </w:rPr>
        <w:t>Di</w:t>
      </w:r>
      <w:r w:rsidRPr="00635BF1">
        <w:rPr>
          <w:b/>
          <w:color w:val="000000" w:themeColor="text1"/>
        </w:rPr>
        <w:t>versi</w:t>
      </w:r>
      <w:r>
        <w:rPr>
          <w:b/>
          <w:color w:val="000000" w:themeColor="text1"/>
        </w:rPr>
        <w:t>ty and Demographic Profile of O</w:t>
      </w:r>
      <w:r w:rsidRPr="00635BF1">
        <w:rPr>
          <w:b/>
          <w:color w:val="000000" w:themeColor="text1"/>
        </w:rPr>
        <w:t>lder Australian</w:t>
      </w:r>
    </w:p>
    <w:p w:rsidR="00316813" w:rsidRPr="00EF2819" w:rsidRDefault="00EF2819" w:rsidP="00EF2819">
      <w:pPr>
        <w:pStyle w:val="NormalWeb"/>
        <w:spacing w:before="0" w:beforeAutospacing="0" w:after="240" w:afterAutospacing="0" w:line="480" w:lineRule="auto"/>
        <w:ind w:firstLine="720"/>
        <w:jc w:val="center"/>
        <w:outlineLvl w:val="0"/>
        <w:rPr>
          <w:color w:val="000000" w:themeColor="text1"/>
        </w:rPr>
      </w:pPr>
      <w:r w:rsidRPr="00EF2819">
        <w:rPr>
          <w:color w:val="000000" w:themeColor="text1"/>
        </w:rPr>
        <w:t>[Name]</w:t>
      </w:r>
    </w:p>
    <w:p w:rsidR="00EF2819" w:rsidRPr="00EF2819" w:rsidRDefault="00EF2819" w:rsidP="00EF2819">
      <w:pPr>
        <w:pStyle w:val="NormalWeb"/>
        <w:spacing w:before="0" w:beforeAutospacing="0" w:after="240" w:afterAutospacing="0" w:line="480" w:lineRule="auto"/>
        <w:ind w:firstLine="720"/>
        <w:jc w:val="center"/>
        <w:outlineLvl w:val="0"/>
        <w:rPr>
          <w:color w:val="000000" w:themeColor="text1"/>
        </w:rPr>
      </w:pPr>
      <w:r w:rsidRPr="00EF2819">
        <w:rPr>
          <w:color w:val="000000" w:themeColor="text1"/>
        </w:rPr>
        <w:t>[Institution affiliation]</w:t>
      </w:r>
    </w:p>
    <w:p w:rsidR="00EF2819" w:rsidRPr="00EF2819" w:rsidRDefault="00EF2819" w:rsidP="00EF2819">
      <w:pPr>
        <w:pStyle w:val="NormalWeb"/>
        <w:spacing w:before="0" w:beforeAutospacing="0" w:after="240" w:afterAutospacing="0" w:line="480" w:lineRule="auto"/>
        <w:ind w:firstLine="720"/>
        <w:jc w:val="center"/>
        <w:outlineLvl w:val="0"/>
        <w:rPr>
          <w:color w:val="000000" w:themeColor="text1"/>
        </w:rPr>
      </w:pPr>
      <w:r w:rsidRPr="00EF2819">
        <w:rPr>
          <w:color w:val="000000" w:themeColor="text1"/>
        </w:rPr>
        <w:t>[Course]</w:t>
      </w:r>
    </w:p>
    <w:p w:rsidR="00EF2819" w:rsidRPr="00EF2819" w:rsidRDefault="00EF2819" w:rsidP="00EF2819">
      <w:pPr>
        <w:pStyle w:val="NormalWeb"/>
        <w:spacing w:before="0" w:beforeAutospacing="0" w:after="240" w:afterAutospacing="0" w:line="480" w:lineRule="auto"/>
        <w:ind w:firstLine="720"/>
        <w:jc w:val="center"/>
        <w:outlineLvl w:val="0"/>
        <w:rPr>
          <w:color w:val="000000" w:themeColor="text1"/>
        </w:rPr>
      </w:pPr>
      <w:r w:rsidRPr="00EF2819">
        <w:rPr>
          <w:color w:val="000000" w:themeColor="text1"/>
        </w:rPr>
        <w:t>[Date]</w:t>
      </w:r>
    </w:p>
    <w:p w:rsidR="00316813" w:rsidRDefault="00316813" w:rsidP="00FE2613">
      <w:pPr>
        <w:pStyle w:val="NormalWeb"/>
        <w:spacing w:before="0" w:beforeAutospacing="0" w:after="240" w:afterAutospacing="0" w:line="480" w:lineRule="auto"/>
        <w:ind w:firstLine="720"/>
        <w:outlineLvl w:val="0"/>
        <w:rPr>
          <w:b/>
          <w:color w:val="000000" w:themeColor="text1"/>
        </w:rPr>
      </w:pPr>
    </w:p>
    <w:p w:rsidR="00316813" w:rsidRDefault="00316813" w:rsidP="00316813">
      <w:pPr>
        <w:pStyle w:val="NormalWeb"/>
        <w:spacing w:before="0" w:beforeAutospacing="0" w:after="240" w:afterAutospacing="0" w:line="480" w:lineRule="auto"/>
        <w:outlineLvl w:val="0"/>
        <w:rPr>
          <w:b/>
          <w:color w:val="000000" w:themeColor="text1"/>
        </w:rPr>
      </w:pPr>
    </w:p>
    <w:p w:rsidR="00316813" w:rsidRDefault="00316813" w:rsidP="00316813">
      <w:pPr>
        <w:pStyle w:val="NormalWeb"/>
        <w:spacing w:before="0" w:beforeAutospacing="0" w:after="240" w:afterAutospacing="0" w:line="480" w:lineRule="auto"/>
        <w:outlineLvl w:val="0"/>
        <w:rPr>
          <w:color w:val="000000" w:themeColor="text1"/>
        </w:rPr>
      </w:pPr>
    </w:p>
    <w:p w:rsidR="00E902D8" w:rsidRDefault="00E902D8" w:rsidP="00316813">
      <w:pPr>
        <w:pStyle w:val="NormalWeb"/>
        <w:spacing w:before="0" w:beforeAutospacing="0" w:after="240" w:afterAutospacing="0" w:line="480" w:lineRule="auto"/>
        <w:outlineLvl w:val="0"/>
        <w:rPr>
          <w:color w:val="000000" w:themeColor="text1"/>
        </w:rPr>
      </w:pPr>
    </w:p>
    <w:p w:rsidR="00EF2819" w:rsidRDefault="00EF2819" w:rsidP="00FE2613">
      <w:pPr>
        <w:pStyle w:val="NormalWeb"/>
        <w:spacing w:before="0" w:beforeAutospacing="0" w:after="240" w:afterAutospacing="0" w:line="480" w:lineRule="auto"/>
        <w:ind w:firstLine="720"/>
        <w:outlineLvl w:val="0"/>
        <w:rPr>
          <w:color w:val="000000" w:themeColor="text1"/>
        </w:rPr>
      </w:pPr>
    </w:p>
    <w:p w:rsidR="00EF2819" w:rsidRDefault="00EF2819" w:rsidP="00FE2613">
      <w:pPr>
        <w:pStyle w:val="NormalWeb"/>
        <w:spacing w:before="0" w:beforeAutospacing="0" w:after="240" w:afterAutospacing="0" w:line="480" w:lineRule="auto"/>
        <w:ind w:firstLine="720"/>
        <w:outlineLvl w:val="0"/>
        <w:rPr>
          <w:color w:val="000000" w:themeColor="text1"/>
        </w:rPr>
      </w:pPr>
    </w:p>
    <w:p w:rsidR="00AB5D1F" w:rsidRDefault="00F17AF5" w:rsidP="00EF2819">
      <w:pPr>
        <w:pStyle w:val="NormalWeb"/>
        <w:spacing w:before="0" w:beforeAutospacing="0" w:after="240" w:afterAutospacing="0" w:line="480" w:lineRule="auto"/>
        <w:ind w:firstLine="720"/>
        <w:jc w:val="both"/>
        <w:outlineLvl w:val="0"/>
        <w:rPr>
          <w:color w:val="000000" w:themeColor="text1"/>
        </w:rPr>
      </w:pPr>
      <w:r w:rsidRPr="0017407F">
        <w:rPr>
          <w:color w:val="000000" w:themeColor="text1"/>
        </w:rPr>
        <w:lastRenderedPageBreak/>
        <w:t xml:space="preserve">Older </w:t>
      </w:r>
      <w:r w:rsidR="004A74BC" w:rsidRPr="0017407F">
        <w:rPr>
          <w:color w:val="000000" w:themeColor="text1"/>
        </w:rPr>
        <w:t>peopl</w:t>
      </w:r>
      <w:r w:rsidRPr="0017407F">
        <w:rPr>
          <w:color w:val="000000" w:themeColor="text1"/>
        </w:rPr>
        <w:t>e account for a considerably good proportion of the Australians</w:t>
      </w:r>
      <w:r w:rsidR="00635BF1">
        <w:rPr>
          <w:color w:val="000000" w:themeColor="text1"/>
        </w:rPr>
        <w:t xml:space="preserve"> total population</w:t>
      </w:r>
      <w:r w:rsidRPr="0017407F">
        <w:rPr>
          <w:color w:val="000000" w:themeColor="text1"/>
        </w:rPr>
        <w:t xml:space="preserve">. About one out of seven people in 2017 were aged sixty-five years and above. </w:t>
      </w:r>
      <w:r w:rsidR="00F93DD6" w:rsidRPr="0017407F">
        <w:rPr>
          <w:color w:val="000000" w:themeColor="text1"/>
        </w:rPr>
        <w:t xml:space="preserve">The growth of the older age group in </w:t>
      </w:r>
      <w:r w:rsidR="002B0F1A" w:rsidRPr="0017407F">
        <w:rPr>
          <w:color w:val="000000" w:themeColor="text1"/>
        </w:rPr>
        <w:t>Australia</w:t>
      </w:r>
      <w:r w:rsidR="00F93DD6" w:rsidRPr="0017407F">
        <w:rPr>
          <w:color w:val="000000" w:themeColor="text1"/>
        </w:rPr>
        <w:t xml:space="preserve"> is partly due to higher life expectancy</w:t>
      </w:r>
      <w:r w:rsidR="00C176A8">
        <w:rPr>
          <w:color w:val="000000" w:themeColor="text1"/>
        </w:rPr>
        <w:t xml:space="preserve"> </w:t>
      </w:r>
      <w:r w:rsidR="00635BF1">
        <w:rPr>
          <w:color w:val="000000" w:themeColor="text1"/>
        </w:rPr>
        <w:t>(</w:t>
      </w:r>
      <w:r w:rsidR="00635BF1" w:rsidRPr="00C176A8">
        <w:rPr>
          <w:color w:val="222222"/>
          <w:shd w:val="clear" w:color="auto" w:fill="FFFFFF"/>
        </w:rPr>
        <w:t>Johnstone</w:t>
      </w:r>
      <w:r w:rsidR="00C176A8">
        <w:rPr>
          <w:color w:val="222222"/>
          <w:shd w:val="clear" w:color="auto" w:fill="FFFFFF"/>
        </w:rPr>
        <w:t xml:space="preserve"> et al., 2016)</w:t>
      </w:r>
      <w:r w:rsidR="002B0F1A" w:rsidRPr="0017407F">
        <w:rPr>
          <w:color w:val="000000" w:themeColor="text1"/>
        </w:rPr>
        <w:t>. In the year 2016, a sixty-five-year-old man could live for another 20 years while a sixty-five-year-old woman could live for another 22</w:t>
      </w:r>
      <w:r w:rsidR="006751D2" w:rsidRPr="0017407F">
        <w:rPr>
          <w:color w:val="000000" w:themeColor="text1"/>
        </w:rPr>
        <w:t xml:space="preserve"> years. This represents a seven-</w:t>
      </w:r>
      <w:r w:rsidR="002B0F1A" w:rsidRPr="0017407F">
        <w:rPr>
          <w:color w:val="000000" w:themeColor="text1"/>
        </w:rPr>
        <w:t>year increase in longer life expectancy from the 1960s. The Australians are enjoying on</w:t>
      </w:r>
      <w:r w:rsidR="006751D2" w:rsidRPr="0017407F">
        <w:rPr>
          <w:color w:val="000000" w:themeColor="text1"/>
        </w:rPr>
        <w:t>e</w:t>
      </w:r>
      <w:r w:rsidR="002B0F1A" w:rsidRPr="0017407F">
        <w:rPr>
          <w:color w:val="000000" w:themeColor="text1"/>
        </w:rPr>
        <w:t xml:space="preserve"> of the highest life expectancies worldwide</w:t>
      </w:r>
      <w:r w:rsidR="0017407F" w:rsidRPr="0017407F">
        <w:rPr>
          <w:color w:val="000000" w:themeColor="text1"/>
        </w:rPr>
        <w:t>.</w:t>
      </w:r>
      <w:r w:rsidR="006751D2" w:rsidRPr="0017407F">
        <w:rPr>
          <w:color w:val="000000" w:themeColor="text1"/>
        </w:rPr>
        <w:t xml:space="preserve"> In the year 2017</w:t>
      </w:r>
      <w:r w:rsidR="00966E16" w:rsidRPr="0017407F">
        <w:rPr>
          <w:color w:val="000000" w:themeColor="text1"/>
        </w:rPr>
        <w:t>, over</w:t>
      </w:r>
      <w:r w:rsidR="00A922B4" w:rsidRPr="0017407F">
        <w:rPr>
          <w:color w:val="000000" w:themeColor="text1"/>
        </w:rPr>
        <w:t xml:space="preserve"> 3.8M of the population were aged 65years and above which amounted to 15% of the total </w:t>
      </w:r>
      <w:r w:rsidR="0017407F" w:rsidRPr="0017407F">
        <w:rPr>
          <w:color w:val="000000" w:themeColor="text1"/>
        </w:rPr>
        <w:t>population</w:t>
      </w:r>
      <w:r w:rsidR="00A922B4" w:rsidRPr="0017407F">
        <w:rPr>
          <w:color w:val="000000" w:themeColor="text1"/>
        </w:rPr>
        <w:t xml:space="preserve"> in the country. This figure is expected to grow to 8.8M by 2057 which will be 22% of the</w:t>
      </w:r>
      <w:r w:rsidR="006751D2" w:rsidRPr="0017407F">
        <w:rPr>
          <w:color w:val="000000" w:themeColor="text1"/>
        </w:rPr>
        <w:t xml:space="preserve"> total population. In 2016, one in every three people aged 65 years and above were born in a </w:t>
      </w:r>
      <w:r w:rsidR="00966E16" w:rsidRPr="0017407F">
        <w:rPr>
          <w:color w:val="000000" w:themeColor="text1"/>
        </w:rPr>
        <w:t>non-English</w:t>
      </w:r>
      <w:r w:rsidR="006751D2" w:rsidRPr="0017407F">
        <w:rPr>
          <w:color w:val="000000" w:themeColor="text1"/>
        </w:rPr>
        <w:t xml:space="preserve"> speaking </w:t>
      </w:r>
      <w:r w:rsidR="00DF3390">
        <w:rPr>
          <w:color w:val="000000" w:themeColor="text1"/>
        </w:rPr>
        <w:t>country. One out of eight people are</w:t>
      </w:r>
      <w:r w:rsidR="006751D2" w:rsidRPr="0017407F">
        <w:rPr>
          <w:color w:val="000000" w:themeColor="text1"/>
        </w:rPr>
        <w:t xml:space="preserve"> </w:t>
      </w:r>
      <w:r w:rsidR="00966E16" w:rsidRPr="0017407F">
        <w:rPr>
          <w:color w:val="000000" w:themeColor="text1"/>
        </w:rPr>
        <w:t>involved</w:t>
      </w:r>
      <w:r w:rsidR="006751D2" w:rsidRPr="0017407F">
        <w:rPr>
          <w:color w:val="000000" w:themeColor="text1"/>
        </w:rPr>
        <w:t xml:space="preserve"> in employment, education, or training. </w:t>
      </w:r>
    </w:p>
    <w:p w:rsidR="00AB5D1F" w:rsidRDefault="00F17AF5" w:rsidP="00EF2819">
      <w:pPr>
        <w:pStyle w:val="NormalWeb"/>
        <w:spacing w:before="0" w:beforeAutospacing="0" w:after="240" w:afterAutospacing="0" w:line="480" w:lineRule="auto"/>
        <w:ind w:firstLine="720"/>
        <w:jc w:val="both"/>
        <w:outlineLvl w:val="0"/>
        <w:rPr>
          <w:color w:val="000000" w:themeColor="text1"/>
        </w:rPr>
      </w:pPr>
      <w:r w:rsidRPr="0017407F">
        <w:rPr>
          <w:color w:val="45494B"/>
        </w:rPr>
        <w:t xml:space="preserve"> </w:t>
      </w:r>
      <w:r w:rsidRPr="0017407F">
        <w:rPr>
          <w:color w:val="000000" w:themeColor="text1"/>
        </w:rPr>
        <w:t xml:space="preserve">Women have a longer life expectancy than men. By 2017, about half of all the people aged between 65 and 74 were women </w:t>
      </w:r>
      <w:r w:rsidRPr="0017407F">
        <w:rPr>
          <w:color w:val="000000" w:themeColor="text1"/>
        </w:rPr>
        <w:t xml:space="preserve">while in the higher age group of 85 and above, </w:t>
      </w:r>
      <w:r w:rsidR="00635BF1">
        <w:rPr>
          <w:color w:val="000000" w:themeColor="text1"/>
        </w:rPr>
        <w:t>wome</w:t>
      </w:r>
      <w:r w:rsidR="00966E16" w:rsidRPr="0017407F">
        <w:rPr>
          <w:color w:val="000000" w:themeColor="text1"/>
        </w:rPr>
        <w:t>n</w:t>
      </w:r>
      <w:r w:rsidRPr="0017407F">
        <w:rPr>
          <w:color w:val="000000" w:themeColor="text1"/>
        </w:rPr>
        <w:t xml:space="preserve"> dominated at 63% of the age group.</w:t>
      </w:r>
      <w:r w:rsidR="00966E16" w:rsidRPr="0017407F">
        <w:rPr>
          <w:color w:val="000000" w:themeColor="text1"/>
        </w:rPr>
        <w:t xml:space="preserve"> The higher increase in more elderly women outliving men started in 1968 where they represented 58% of the total people who were over 65 year</w:t>
      </w:r>
      <w:r w:rsidR="00635BF1">
        <w:rPr>
          <w:color w:val="000000" w:themeColor="text1"/>
        </w:rPr>
        <w:t>s</w:t>
      </w:r>
      <w:r w:rsidR="00966E16" w:rsidRPr="0017407F">
        <w:rPr>
          <w:color w:val="000000" w:themeColor="text1"/>
        </w:rPr>
        <w:t>. Just lik</w:t>
      </w:r>
      <w:r w:rsidR="001D52BB">
        <w:rPr>
          <w:color w:val="000000" w:themeColor="text1"/>
        </w:rPr>
        <w:t>e</w:t>
      </w:r>
      <w:r w:rsidR="00966E16" w:rsidRPr="0017407F">
        <w:rPr>
          <w:color w:val="000000" w:themeColor="text1"/>
        </w:rPr>
        <w:t xml:space="preserve"> most other developed countries, Australians have a median </w:t>
      </w:r>
      <w:r w:rsidR="007B2A2B" w:rsidRPr="0017407F">
        <w:rPr>
          <w:color w:val="000000" w:themeColor="text1"/>
        </w:rPr>
        <w:t>age</w:t>
      </w:r>
      <w:r w:rsidR="007B2A2B">
        <w:rPr>
          <w:color w:val="000000" w:themeColor="text1"/>
        </w:rPr>
        <w:t xml:space="preserve"> (Wilson et al., 2020)</w:t>
      </w:r>
      <w:r w:rsidR="00966E16" w:rsidRPr="0017407F">
        <w:rPr>
          <w:color w:val="000000" w:themeColor="text1"/>
        </w:rPr>
        <w:t xml:space="preserve">. A big </w:t>
      </w:r>
      <w:r w:rsidR="0017407F" w:rsidRPr="0017407F">
        <w:rPr>
          <w:color w:val="000000" w:themeColor="text1"/>
        </w:rPr>
        <w:t>proportion</w:t>
      </w:r>
      <w:r w:rsidR="00966E16" w:rsidRPr="0017407F">
        <w:rPr>
          <w:color w:val="000000" w:themeColor="text1"/>
        </w:rPr>
        <w:t xml:space="preserve"> of the population is aged 65 and above. </w:t>
      </w:r>
      <w:r w:rsidR="0017407F" w:rsidRPr="0017407F">
        <w:rPr>
          <w:color w:val="000000" w:themeColor="text1"/>
        </w:rPr>
        <w:t>The majority of older Australians are living much longer with better health</w:t>
      </w:r>
      <w:r w:rsidR="00345069" w:rsidRPr="0017407F">
        <w:rPr>
          <w:color w:val="000000" w:themeColor="text1"/>
        </w:rPr>
        <w:t xml:space="preserve">. However, </w:t>
      </w:r>
      <w:r w:rsidR="00A877EF" w:rsidRPr="0017407F">
        <w:rPr>
          <w:color w:val="000000" w:themeColor="text1"/>
        </w:rPr>
        <w:t>a few</w:t>
      </w:r>
      <w:r w:rsidR="00345069" w:rsidRPr="0017407F">
        <w:rPr>
          <w:color w:val="000000" w:themeColor="text1"/>
        </w:rPr>
        <w:t xml:space="preserve"> continue to face challenges that hinder both their physical</w:t>
      </w:r>
      <w:r w:rsidR="00A877EF" w:rsidRPr="0017407F">
        <w:rPr>
          <w:color w:val="000000" w:themeColor="text1"/>
        </w:rPr>
        <w:t xml:space="preserve"> </w:t>
      </w:r>
      <w:r w:rsidR="00345069" w:rsidRPr="0017407F">
        <w:rPr>
          <w:color w:val="000000" w:themeColor="text1"/>
        </w:rPr>
        <w:t xml:space="preserve">and mental </w:t>
      </w:r>
      <w:r w:rsidR="00A877EF" w:rsidRPr="0017407F">
        <w:rPr>
          <w:color w:val="000000" w:themeColor="text1"/>
        </w:rPr>
        <w:t>health which limits their opportunities for economic and social commitments within their communities. The Aged Care Act 1997 has defined such people as ‘people with special needs’ people who have special conditions that should be taken under advisement</w:t>
      </w:r>
    </w:p>
    <w:p w:rsidR="002A1F7E" w:rsidRDefault="00F17AF5" w:rsidP="00EF2819">
      <w:pPr>
        <w:pStyle w:val="NormalWeb"/>
        <w:spacing w:before="0" w:beforeAutospacing="0" w:after="240" w:afterAutospacing="0" w:line="480" w:lineRule="auto"/>
        <w:ind w:firstLine="720"/>
        <w:jc w:val="both"/>
        <w:outlineLvl w:val="0"/>
        <w:rPr>
          <w:color w:val="000000" w:themeColor="text1"/>
        </w:rPr>
      </w:pPr>
      <w:r>
        <w:rPr>
          <w:color w:val="000000" w:themeColor="text1"/>
        </w:rPr>
        <w:t>The elder people</w:t>
      </w:r>
      <w:r w:rsidR="00241761" w:rsidRPr="0017407F">
        <w:rPr>
          <w:color w:val="000000" w:themeColor="text1"/>
        </w:rPr>
        <w:t xml:space="preserve"> can be divided into subsection which includes peoples from culturally and linguistically diverse backgrounds, veterans of the Australia Defense Force (widow or </w:t>
      </w:r>
      <w:r w:rsidR="00241761" w:rsidRPr="0017407F">
        <w:rPr>
          <w:color w:val="000000" w:themeColor="text1"/>
        </w:rPr>
        <w:lastRenderedPageBreak/>
        <w:t>widower of a veteran), Aboriginal and Torres Strait Islander communities, Who live in remote or rural areas, who are at risk of being homelessness or who are homeless, those who identify as gay, bisexual, lesbian, transgender or intersex</w:t>
      </w:r>
      <w:r w:rsidR="00C176A8">
        <w:rPr>
          <w:color w:val="000000" w:themeColor="text1"/>
        </w:rPr>
        <w:t xml:space="preserve"> (Van &amp; Dent 2018)</w:t>
      </w:r>
      <w:r w:rsidR="00241761" w:rsidRPr="0017407F">
        <w:rPr>
          <w:color w:val="000000" w:themeColor="text1"/>
        </w:rPr>
        <w:t>.</w:t>
      </w:r>
      <w:r w:rsidR="00B61985" w:rsidRPr="0017407F">
        <w:rPr>
          <w:color w:val="000000" w:themeColor="text1"/>
        </w:rPr>
        <w:t xml:space="preserve"> The indigenous Australians are faced with disadvantages in incomes, education, employment, and housing. The relationship between these social determinants and both physical and mental health is well </w:t>
      </w:r>
      <w:r w:rsidR="00813083" w:rsidRPr="0017407F">
        <w:rPr>
          <w:color w:val="000000" w:themeColor="text1"/>
        </w:rPr>
        <w:t>related. This</w:t>
      </w:r>
      <w:r w:rsidR="00B61985" w:rsidRPr="0017407F">
        <w:rPr>
          <w:color w:val="000000" w:themeColor="text1"/>
        </w:rPr>
        <w:t xml:space="preserve"> age group sector has a higher mortality rat</w:t>
      </w:r>
      <w:r w:rsidR="00813083" w:rsidRPr="0017407F">
        <w:rPr>
          <w:color w:val="000000" w:themeColor="text1"/>
        </w:rPr>
        <w:t>e</w:t>
      </w:r>
      <w:r w:rsidR="00B61985" w:rsidRPr="0017407F">
        <w:rPr>
          <w:color w:val="000000" w:themeColor="text1"/>
        </w:rPr>
        <w:t xml:space="preserve"> with a low life expectancy compared to other </w:t>
      </w:r>
      <w:r w:rsidR="00813083" w:rsidRPr="0017407F">
        <w:rPr>
          <w:color w:val="000000" w:themeColor="text1"/>
        </w:rPr>
        <w:t>Australians.</w:t>
      </w:r>
      <w:r w:rsidR="00F93DD6" w:rsidRPr="0017407F">
        <w:rPr>
          <w:color w:val="000000" w:themeColor="text1"/>
        </w:rPr>
        <w:t xml:space="preserve"> Research shows that long-term conditions affect almost 9/10 Abor</w:t>
      </w:r>
      <w:r w:rsidR="007B2A2B">
        <w:rPr>
          <w:color w:val="000000" w:themeColor="text1"/>
        </w:rPr>
        <w:t>iginal or Torres people who are</w:t>
      </w:r>
      <w:r w:rsidR="00F93DD6" w:rsidRPr="0017407F">
        <w:rPr>
          <w:color w:val="000000" w:themeColor="text1"/>
        </w:rPr>
        <w:t xml:space="preserve"> over 65years.</w:t>
      </w:r>
      <w:r w:rsidR="007C2667">
        <w:rPr>
          <w:color w:val="000000" w:themeColor="text1"/>
        </w:rPr>
        <w:t xml:space="preserve"> Older people are at a </w:t>
      </w:r>
      <w:r w:rsidR="00641640">
        <w:rPr>
          <w:color w:val="000000" w:themeColor="text1"/>
        </w:rPr>
        <w:t>higher</w:t>
      </w:r>
      <w:r w:rsidR="007C2667">
        <w:rPr>
          <w:color w:val="000000" w:themeColor="text1"/>
        </w:rPr>
        <w:t xml:space="preserve"> </w:t>
      </w:r>
      <w:r w:rsidR="00641640">
        <w:rPr>
          <w:color w:val="000000" w:themeColor="text1"/>
        </w:rPr>
        <w:t>risk</w:t>
      </w:r>
      <w:r w:rsidR="007C2667">
        <w:rPr>
          <w:color w:val="000000" w:themeColor="text1"/>
        </w:rPr>
        <w:t xml:space="preserve"> of diabetes, respiratory diseases, a</w:t>
      </w:r>
      <w:r w:rsidR="00641640">
        <w:rPr>
          <w:color w:val="000000" w:themeColor="text1"/>
        </w:rPr>
        <w:t>n</w:t>
      </w:r>
      <w:r w:rsidR="007C2667">
        <w:rPr>
          <w:color w:val="000000" w:themeColor="text1"/>
        </w:rPr>
        <w:t xml:space="preserve">d cardiovascular diseases. </w:t>
      </w:r>
    </w:p>
    <w:p w:rsidR="00B61985" w:rsidRDefault="00F17AF5" w:rsidP="00EF2819">
      <w:pPr>
        <w:pStyle w:val="NormalWeb"/>
        <w:spacing w:before="0" w:beforeAutospacing="0" w:after="240" w:afterAutospacing="0" w:line="480" w:lineRule="auto"/>
        <w:ind w:firstLine="720"/>
        <w:jc w:val="both"/>
        <w:outlineLvl w:val="0"/>
        <w:rPr>
          <w:color w:val="000000" w:themeColor="text1"/>
        </w:rPr>
      </w:pPr>
      <w:r>
        <w:rPr>
          <w:color w:val="000000" w:themeColor="text1"/>
        </w:rPr>
        <w:t>The health of the ascending numb</w:t>
      </w:r>
      <w:r>
        <w:rPr>
          <w:color w:val="000000" w:themeColor="text1"/>
        </w:rPr>
        <w:t>er of elder Australian has remain</w:t>
      </w:r>
      <w:r w:rsidR="007B2A2B">
        <w:rPr>
          <w:color w:val="000000" w:themeColor="text1"/>
        </w:rPr>
        <w:t>ed</w:t>
      </w:r>
      <w:r>
        <w:rPr>
          <w:color w:val="000000" w:themeColor="text1"/>
        </w:rPr>
        <w:t xml:space="preserve"> to b</w:t>
      </w:r>
      <w:r w:rsidR="001D52BB">
        <w:rPr>
          <w:color w:val="000000" w:themeColor="text1"/>
        </w:rPr>
        <w:t>e</w:t>
      </w:r>
      <w:r>
        <w:rPr>
          <w:color w:val="000000" w:themeColor="text1"/>
        </w:rPr>
        <w:t xml:space="preserve"> a key social-economic challenge in the country. </w:t>
      </w:r>
      <w:r w:rsidR="001D52BB">
        <w:rPr>
          <w:color w:val="000000" w:themeColor="text1"/>
        </w:rPr>
        <w:t xml:space="preserve">Older </w:t>
      </w:r>
      <w:r>
        <w:rPr>
          <w:color w:val="000000" w:themeColor="text1"/>
        </w:rPr>
        <w:t>People have continued to contribute culturally, socially, and economically to even the larger Australian community</w:t>
      </w:r>
      <w:r w:rsidR="001D52BB">
        <w:rPr>
          <w:color w:val="000000" w:themeColor="text1"/>
        </w:rPr>
        <w:t>.</w:t>
      </w:r>
      <w:r w:rsidR="001D52BB" w:rsidRPr="001D52BB">
        <w:rPr>
          <w:color w:val="000000" w:themeColor="text1"/>
        </w:rPr>
        <w:t xml:space="preserve"> </w:t>
      </w:r>
      <w:r w:rsidR="001D52BB">
        <w:rPr>
          <w:color w:val="000000" w:themeColor="text1"/>
        </w:rPr>
        <w:t xml:space="preserve">They form an integral part of the economy through their engagement in post-retirement, workforce, and incomes from their assets. They also play a big role in societal beneficial activities like community work, volunteering, and caring for families. These social-economic activities have enhanced healthy </w:t>
      </w:r>
      <w:r w:rsidR="00AB5D1F">
        <w:rPr>
          <w:color w:val="000000" w:themeColor="text1"/>
        </w:rPr>
        <w:t>aging. The</w:t>
      </w:r>
      <w:r w:rsidR="001D52BB">
        <w:rPr>
          <w:color w:val="000000" w:themeColor="text1"/>
        </w:rPr>
        <w:t xml:space="preserve"> care for the elderly </w:t>
      </w:r>
      <w:r w:rsidR="00AB5D1F">
        <w:rPr>
          <w:color w:val="000000" w:themeColor="text1"/>
        </w:rPr>
        <w:t>is a</w:t>
      </w:r>
      <w:r w:rsidR="001D52BB">
        <w:rPr>
          <w:color w:val="000000" w:themeColor="text1"/>
        </w:rPr>
        <w:t xml:space="preserve"> complex </w:t>
      </w:r>
      <w:r w:rsidR="00AB5D1F">
        <w:rPr>
          <w:color w:val="000000" w:themeColor="text1"/>
        </w:rPr>
        <w:t>system</w:t>
      </w:r>
      <w:r w:rsidR="001D52BB">
        <w:rPr>
          <w:color w:val="000000" w:themeColor="text1"/>
        </w:rPr>
        <w:t>.</w:t>
      </w:r>
      <w:r w:rsidR="00AB5D1F">
        <w:rPr>
          <w:color w:val="000000" w:themeColor="text1"/>
        </w:rPr>
        <w:t xml:space="preserve"> </w:t>
      </w:r>
      <w:r w:rsidR="001D52BB">
        <w:rPr>
          <w:color w:val="000000" w:themeColor="text1"/>
        </w:rPr>
        <w:t xml:space="preserve">There are various types of health care providers with a wide range of funding as well. </w:t>
      </w:r>
      <w:r w:rsidR="00AB5D1F">
        <w:rPr>
          <w:color w:val="000000" w:themeColor="text1"/>
        </w:rPr>
        <w:t>The services are provided by health professionals, specialists, medical practitioners, and other health professionals in transition services, residential aged care, support services, hospitals, and clinics</w:t>
      </w:r>
      <w:r w:rsidR="00EF2819">
        <w:rPr>
          <w:color w:val="000000" w:themeColor="text1"/>
        </w:rPr>
        <w:t>.</w:t>
      </w:r>
    </w:p>
    <w:p w:rsidR="00316813" w:rsidRDefault="00316813" w:rsidP="00EF2819">
      <w:pPr>
        <w:pStyle w:val="NormalWeb"/>
        <w:spacing w:before="0" w:beforeAutospacing="0" w:after="240" w:afterAutospacing="0" w:line="480" w:lineRule="auto"/>
        <w:jc w:val="both"/>
        <w:outlineLvl w:val="0"/>
        <w:rPr>
          <w:color w:val="000000" w:themeColor="text1"/>
        </w:rPr>
      </w:pPr>
    </w:p>
    <w:p w:rsidR="00EF2819" w:rsidRDefault="00EF2819" w:rsidP="007B2A2B">
      <w:pPr>
        <w:pStyle w:val="NormalWeb"/>
        <w:spacing w:before="0" w:beforeAutospacing="0" w:after="240" w:afterAutospacing="0" w:line="480" w:lineRule="auto"/>
        <w:outlineLvl w:val="0"/>
        <w:rPr>
          <w:b/>
          <w:color w:val="000000" w:themeColor="text1"/>
        </w:rPr>
      </w:pPr>
    </w:p>
    <w:p w:rsidR="00EF2819" w:rsidRDefault="00EF2819" w:rsidP="007B2A2B">
      <w:pPr>
        <w:pStyle w:val="NormalWeb"/>
        <w:spacing w:before="0" w:beforeAutospacing="0" w:after="240" w:afterAutospacing="0" w:line="480" w:lineRule="auto"/>
        <w:outlineLvl w:val="0"/>
        <w:rPr>
          <w:b/>
          <w:color w:val="000000" w:themeColor="text1"/>
        </w:rPr>
      </w:pPr>
    </w:p>
    <w:p w:rsidR="00C176A8" w:rsidRPr="00C176A8" w:rsidRDefault="00F17AF5" w:rsidP="00EF2819">
      <w:pPr>
        <w:pStyle w:val="NormalWeb"/>
        <w:spacing w:before="0" w:beforeAutospacing="0" w:after="240" w:afterAutospacing="0" w:line="480" w:lineRule="auto"/>
        <w:jc w:val="center"/>
        <w:outlineLvl w:val="0"/>
        <w:rPr>
          <w:b/>
          <w:color w:val="000000" w:themeColor="text1"/>
        </w:rPr>
      </w:pPr>
      <w:r w:rsidRPr="00C176A8">
        <w:rPr>
          <w:b/>
          <w:color w:val="000000" w:themeColor="text1"/>
        </w:rPr>
        <w:lastRenderedPageBreak/>
        <w:t>References</w:t>
      </w:r>
    </w:p>
    <w:p w:rsidR="00C176A8" w:rsidRPr="00EF2819" w:rsidRDefault="00F17AF5" w:rsidP="00C176A8">
      <w:pPr>
        <w:pStyle w:val="NormalWeb"/>
        <w:spacing w:before="0" w:beforeAutospacing="0" w:after="240" w:afterAutospacing="0" w:line="480" w:lineRule="auto"/>
        <w:ind w:left="720" w:hanging="720"/>
        <w:outlineLvl w:val="0"/>
        <w:rPr>
          <w:color w:val="000000" w:themeColor="text1"/>
          <w:shd w:val="clear" w:color="auto" w:fill="FFFFFF"/>
        </w:rPr>
      </w:pPr>
      <w:r w:rsidRPr="00EF2819">
        <w:rPr>
          <w:color w:val="000000" w:themeColor="text1"/>
          <w:shd w:val="clear" w:color="auto" w:fill="FFFFFF"/>
        </w:rPr>
        <w:t xml:space="preserve">Johnstone, M. J., Hutchinson, A. M., Redley, B., &amp; Rawson, H. (2016). Nursing roles and strategies in end-of-life decision making concerning </w:t>
      </w:r>
      <w:r w:rsidRPr="00EF2819">
        <w:rPr>
          <w:color w:val="000000" w:themeColor="text1"/>
          <w:shd w:val="clear" w:color="auto" w:fill="FFFFFF"/>
        </w:rPr>
        <w:t>elderly immigrants admitted to acute care hospitals: An Australian study. </w:t>
      </w:r>
      <w:r w:rsidRPr="00EF2819">
        <w:rPr>
          <w:i/>
          <w:iCs/>
          <w:color w:val="000000" w:themeColor="text1"/>
          <w:shd w:val="clear" w:color="auto" w:fill="FFFFFF"/>
        </w:rPr>
        <w:t>Journal of Transcultural Nursing</w:t>
      </w:r>
      <w:r w:rsidRPr="00EF2819">
        <w:rPr>
          <w:color w:val="000000" w:themeColor="text1"/>
          <w:shd w:val="clear" w:color="auto" w:fill="FFFFFF"/>
        </w:rPr>
        <w:t>, </w:t>
      </w:r>
      <w:r w:rsidRPr="00EF2819">
        <w:rPr>
          <w:i/>
          <w:iCs/>
          <w:color w:val="000000" w:themeColor="text1"/>
          <w:shd w:val="clear" w:color="auto" w:fill="FFFFFF"/>
        </w:rPr>
        <w:t>27</w:t>
      </w:r>
      <w:r w:rsidRPr="00EF2819">
        <w:rPr>
          <w:color w:val="000000" w:themeColor="text1"/>
          <w:shd w:val="clear" w:color="auto" w:fill="FFFFFF"/>
        </w:rPr>
        <w:t>(5), 471-479.</w:t>
      </w:r>
    </w:p>
    <w:p w:rsidR="00C176A8" w:rsidRPr="00EF2819" w:rsidRDefault="00F17AF5" w:rsidP="00C176A8">
      <w:pPr>
        <w:pStyle w:val="NormalWeb"/>
        <w:spacing w:before="0" w:beforeAutospacing="0" w:after="240" w:afterAutospacing="0" w:line="480" w:lineRule="auto"/>
        <w:ind w:left="720" w:hanging="720"/>
        <w:outlineLvl w:val="0"/>
        <w:rPr>
          <w:color w:val="000000" w:themeColor="text1"/>
          <w:shd w:val="clear" w:color="auto" w:fill="FFFFFF"/>
        </w:rPr>
      </w:pPr>
      <w:r w:rsidRPr="00EF2819">
        <w:rPr>
          <w:color w:val="000000" w:themeColor="text1"/>
          <w:shd w:val="clear" w:color="auto" w:fill="FFFFFF"/>
        </w:rPr>
        <w:t>Van Gaans, D., &amp; Dent, E. (2018). Issues of accessibility to health services by older Australians: a review. </w:t>
      </w:r>
      <w:r w:rsidRPr="00EF2819">
        <w:rPr>
          <w:i/>
          <w:iCs/>
          <w:color w:val="000000" w:themeColor="text1"/>
          <w:shd w:val="clear" w:color="auto" w:fill="FFFFFF"/>
        </w:rPr>
        <w:t>Public health reviews</w:t>
      </w:r>
      <w:r w:rsidRPr="00EF2819">
        <w:rPr>
          <w:color w:val="000000" w:themeColor="text1"/>
          <w:shd w:val="clear" w:color="auto" w:fill="FFFFFF"/>
        </w:rPr>
        <w:t>, </w:t>
      </w:r>
      <w:r w:rsidRPr="00EF2819">
        <w:rPr>
          <w:i/>
          <w:iCs/>
          <w:color w:val="000000" w:themeColor="text1"/>
          <w:shd w:val="clear" w:color="auto" w:fill="FFFFFF"/>
        </w:rPr>
        <w:t>39</w:t>
      </w:r>
      <w:r w:rsidRPr="00EF2819">
        <w:rPr>
          <w:color w:val="000000" w:themeColor="text1"/>
          <w:shd w:val="clear" w:color="auto" w:fill="FFFFFF"/>
        </w:rPr>
        <w:t>(1), 20.</w:t>
      </w:r>
    </w:p>
    <w:p w:rsidR="00EF2819" w:rsidRDefault="00F17AF5" w:rsidP="00EF2819">
      <w:pPr>
        <w:pStyle w:val="NormalWeb"/>
        <w:spacing w:before="0" w:beforeAutospacing="0" w:after="240" w:afterAutospacing="0" w:line="480" w:lineRule="auto"/>
        <w:ind w:left="720" w:hanging="720"/>
        <w:outlineLvl w:val="0"/>
        <w:rPr>
          <w:color w:val="000000" w:themeColor="text1"/>
          <w:shd w:val="clear" w:color="auto" w:fill="FFFFFF"/>
        </w:rPr>
      </w:pPr>
      <w:r w:rsidRPr="00EF2819">
        <w:rPr>
          <w:color w:val="000000" w:themeColor="text1"/>
          <w:shd w:val="clear" w:color="auto" w:fill="FFFFFF"/>
        </w:rPr>
        <w:t>Wilson, T., McDonald, P., Temple, J., Brijnath, B., &amp; Utomo, A. (2020). Past and projected growth of Australia’s older migrant populations. </w:t>
      </w:r>
      <w:r w:rsidRPr="00EF2819">
        <w:rPr>
          <w:i/>
          <w:iCs/>
          <w:color w:val="000000" w:themeColor="text1"/>
          <w:shd w:val="clear" w:color="auto" w:fill="FFFFFF"/>
        </w:rPr>
        <w:t>Genus</w:t>
      </w:r>
      <w:r w:rsidRPr="00EF2819">
        <w:rPr>
          <w:color w:val="000000" w:themeColor="text1"/>
          <w:shd w:val="clear" w:color="auto" w:fill="FFFFFF"/>
        </w:rPr>
        <w:t>, </w:t>
      </w:r>
      <w:r w:rsidRPr="00EF2819">
        <w:rPr>
          <w:i/>
          <w:iCs/>
          <w:color w:val="000000" w:themeColor="text1"/>
          <w:shd w:val="clear" w:color="auto" w:fill="FFFFFF"/>
        </w:rPr>
        <w:t>76</w:t>
      </w:r>
      <w:r w:rsidRPr="00EF2819">
        <w:rPr>
          <w:color w:val="000000" w:themeColor="text1"/>
          <w:shd w:val="clear" w:color="auto" w:fill="FFFFFF"/>
        </w:rPr>
        <w:t>(1), 1-21.</w:t>
      </w:r>
    </w:p>
    <w:p w:rsidR="00EF2819" w:rsidRPr="00784B32" w:rsidRDefault="00EF2819" w:rsidP="00EF2819">
      <w:pPr>
        <w:spacing w:line="240" w:lineRule="auto"/>
        <w:ind w:left="720" w:hanging="720"/>
        <w:rPr>
          <w:rFonts w:ascii="Times New Roman" w:hAnsi="Times New Roman" w:cs="Times New Roman"/>
          <w:b/>
          <w:sz w:val="24"/>
          <w:szCs w:val="24"/>
        </w:rPr>
      </w:pPr>
      <w:r w:rsidRPr="00784B32">
        <w:rPr>
          <w:rFonts w:ascii="Times New Roman" w:hAnsi="Times New Roman" w:cs="Times New Roman"/>
          <w:b/>
          <w:sz w:val="24"/>
          <w:szCs w:val="24"/>
        </w:rPr>
        <w:t>NB: Hello my friend. Remember to delete this part before you submit your work.</w:t>
      </w:r>
    </w:p>
    <w:p w:rsidR="00EF2819" w:rsidRPr="00784B32" w:rsidRDefault="00EF2819" w:rsidP="00EF2819">
      <w:pPr>
        <w:spacing w:line="240" w:lineRule="auto"/>
        <w:ind w:left="720" w:hanging="720"/>
        <w:rPr>
          <w:rFonts w:ascii="Times New Roman" w:hAnsi="Times New Roman" w:cs="Times New Roman"/>
          <w:b/>
          <w:sz w:val="24"/>
          <w:szCs w:val="24"/>
        </w:rPr>
      </w:pPr>
      <w:r w:rsidRPr="00784B32">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rsidR="00EF2819" w:rsidRPr="00EF2819" w:rsidRDefault="00EF2819" w:rsidP="00EF2819">
      <w:pPr>
        <w:pStyle w:val="NormalWeb"/>
        <w:spacing w:before="0" w:beforeAutospacing="0" w:after="240" w:afterAutospacing="0" w:line="480" w:lineRule="auto"/>
        <w:ind w:left="720" w:hanging="720"/>
        <w:outlineLvl w:val="0"/>
        <w:rPr>
          <w:color w:val="000000" w:themeColor="text1"/>
          <w:shd w:val="clear" w:color="auto" w:fill="FFFFFF"/>
        </w:rPr>
      </w:pPr>
      <w:bookmarkStart w:id="0" w:name="_GoBack"/>
      <w:bookmarkEnd w:id="0"/>
    </w:p>
    <w:p w:rsidR="001D52BB" w:rsidRDefault="001D52BB" w:rsidP="00FE2613">
      <w:pPr>
        <w:pStyle w:val="NormalWeb"/>
        <w:spacing w:before="0" w:beforeAutospacing="0" w:after="240" w:afterAutospacing="0" w:line="480" w:lineRule="auto"/>
        <w:ind w:firstLine="720"/>
        <w:outlineLvl w:val="0"/>
        <w:rPr>
          <w:color w:val="000000" w:themeColor="text1"/>
        </w:rPr>
      </w:pPr>
    </w:p>
    <w:p w:rsidR="001D52BB" w:rsidRPr="0017407F" w:rsidRDefault="001D52BB" w:rsidP="00FE2613">
      <w:pPr>
        <w:pStyle w:val="NormalWeb"/>
        <w:spacing w:before="0" w:beforeAutospacing="0" w:after="240" w:afterAutospacing="0" w:line="480" w:lineRule="auto"/>
        <w:ind w:firstLine="720"/>
        <w:outlineLvl w:val="0"/>
        <w:rPr>
          <w:color w:val="000000" w:themeColor="text1"/>
        </w:rPr>
      </w:pPr>
    </w:p>
    <w:p w:rsidR="00936352" w:rsidRPr="00936352" w:rsidRDefault="00936352" w:rsidP="00FE2613">
      <w:pPr>
        <w:ind w:firstLine="720"/>
        <w:outlineLvl w:val="0"/>
        <w:rPr>
          <w:rFonts w:ascii="Times New Roman" w:hAnsi="Times New Roman" w:cs="Times New Roman"/>
          <w:color w:val="000000" w:themeColor="text1"/>
          <w:sz w:val="24"/>
          <w:szCs w:val="24"/>
        </w:rPr>
      </w:pPr>
    </w:p>
    <w:sectPr w:rsidR="00936352" w:rsidRPr="009363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AF5" w:rsidRDefault="00F17AF5">
      <w:pPr>
        <w:spacing w:after="0" w:line="240" w:lineRule="auto"/>
      </w:pPr>
      <w:r>
        <w:separator/>
      </w:r>
    </w:p>
  </w:endnote>
  <w:endnote w:type="continuationSeparator" w:id="0">
    <w:p w:rsidR="00F17AF5" w:rsidRDefault="00F17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AF5" w:rsidRDefault="00F17AF5">
      <w:pPr>
        <w:spacing w:after="0" w:line="240" w:lineRule="auto"/>
      </w:pPr>
      <w:r>
        <w:separator/>
      </w:r>
    </w:p>
  </w:footnote>
  <w:footnote w:type="continuationSeparator" w:id="0">
    <w:p w:rsidR="00F17AF5" w:rsidRDefault="00F17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066160"/>
      <w:docPartObj>
        <w:docPartGallery w:val="Page Numbers (Top of Page)"/>
        <w:docPartUnique/>
      </w:docPartObj>
    </w:sdtPr>
    <w:sdtEndPr>
      <w:rPr>
        <w:noProof/>
      </w:rPr>
    </w:sdtEndPr>
    <w:sdtContent>
      <w:p w:rsidR="002A1F7E" w:rsidRDefault="00F17AF5">
        <w:pPr>
          <w:pStyle w:val="Header"/>
          <w:jc w:val="right"/>
        </w:pPr>
        <w:r>
          <w:fldChar w:fldCharType="begin"/>
        </w:r>
        <w:r>
          <w:instrText xml:space="preserve"> PAGE   \* MERGEFORMAT </w:instrText>
        </w:r>
        <w:r>
          <w:fldChar w:fldCharType="separate"/>
        </w:r>
        <w:r w:rsidR="00EF2819">
          <w:rPr>
            <w:noProof/>
          </w:rPr>
          <w:t>3</w:t>
        </w:r>
        <w:r>
          <w:rPr>
            <w:noProof/>
          </w:rPr>
          <w:fldChar w:fldCharType="end"/>
        </w:r>
      </w:p>
    </w:sdtContent>
  </w:sdt>
  <w:p w:rsidR="002A1F7E" w:rsidRDefault="002A1F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36B3C"/>
    <w:multiLevelType w:val="multilevel"/>
    <w:tmpl w:val="411AE9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6B991BA7"/>
    <w:multiLevelType w:val="multilevel"/>
    <w:tmpl w:val="FCD2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A0szA3NLY0MjO0sLBQ0lEKTi0uzszPAykwrgUAHsIPCywAAAA="/>
  </w:docVars>
  <w:rsids>
    <w:rsidRoot w:val="00936352"/>
    <w:rsid w:val="0017407F"/>
    <w:rsid w:val="001D52BB"/>
    <w:rsid w:val="00241761"/>
    <w:rsid w:val="00250BF0"/>
    <w:rsid w:val="002A1F7E"/>
    <w:rsid w:val="002B0F1A"/>
    <w:rsid w:val="002F5A85"/>
    <w:rsid w:val="00316813"/>
    <w:rsid w:val="00345069"/>
    <w:rsid w:val="00483EE8"/>
    <w:rsid w:val="004A74BC"/>
    <w:rsid w:val="00635BF1"/>
    <w:rsid w:val="00641640"/>
    <w:rsid w:val="006751D2"/>
    <w:rsid w:val="007B2A2B"/>
    <w:rsid w:val="007C2667"/>
    <w:rsid w:val="00813083"/>
    <w:rsid w:val="00936352"/>
    <w:rsid w:val="00966E16"/>
    <w:rsid w:val="009745AF"/>
    <w:rsid w:val="00A877EF"/>
    <w:rsid w:val="00A922B4"/>
    <w:rsid w:val="00AB5D1F"/>
    <w:rsid w:val="00B61985"/>
    <w:rsid w:val="00C176A8"/>
    <w:rsid w:val="00C73525"/>
    <w:rsid w:val="00D06074"/>
    <w:rsid w:val="00D32C01"/>
    <w:rsid w:val="00D57145"/>
    <w:rsid w:val="00DF3390"/>
    <w:rsid w:val="00E902D8"/>
    <w:rsid w:val="00EC664B"/>
    <w:rsid w:val="00EF2819"/>
    <w:rsid w:val="00F1479B"/>
    <w:rsid w:val="00F17AF5"/>
    <w:rsid w:val="00F93DD6"/>
    <w:rsid w:val="00FA0A2D"/>
    <w:rsid w:val="00FE2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74A3A-8736-4BCE-9084-54DD9F1D5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63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36352"/>
    <w:rPr>
      <w:i/>
      <w:iCs/>
    </w:rPr>
  </w:style>
  <w:style w:type="paragraph" w:customStyle="1" w:styleId="highlight-title">
    <w:name w:val="highlight-title"/>
    <w:basedOn w:val="Normal"/>
    <w:rsid w:val="0093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ghlight-text">
    <w:name w:val="highlight-text"/>
    <w:basedOn w:val="Normal"/>
    <w:rsid w:val="009363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41640"/>
    <w:rPr>
      <w:color w:val="0563C1" w:themeColor="hyperlink"/>
      <w:u w:val="single"/>
    </w:rPr>
  </w:style>
  <w:style w:type="paragraph" w:styleId="Header">
    <w:name w:val="header"/>
    <w:basedOn w:val="Normal"/>
    <w:link w:val="HeaderChar"/>
    <w:uiPriority w:val="99"/>
    <w:unhideWhenUsed/>
    <w:rsid w:val="002A1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F7E"/>
  </w:style>
  <w:style w:type="paragraph" w:styleId="Footer">
    <w:name w:val="footer"/>
    <w:basedOn w:val="Normal"/>
    <w:link w:val="FooterChar"/>
    <w:uiPriority w:val="99"/>
    <w:unhideWhenUsed/>
    <w:rsid w:val="002A1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18</cp:revision>
  <dcterms:created xsi:type="dcterms:W3CDTF">2020-11-04T13:05:00Z</dcterms:created>
  <dcterms:modified xsi:type="dcterms:W3CDTF">2020-11-05T17:52:00Z</dcterms:modified>
</cp:coreProperties>
</file>